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1402"/>
        <w:gridCol w:w="297"/>
        <w:gridCol w:w="1408"/>
        <w:gridCol w:w="198"/>
        <w:gridCol w:w="1657"/>
      </w:tblGrid>
      <w:tr w:rsidR="00BE088D" w:rsidRPr="00F604F2" w:rsidTr="00F604F2">
        <w:trPr>
          <w:trHeight w:val="660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E088D" w:rsidRPr="00F604F2" w:rsidRDefault="00BE088D" w:rsidP="00BE0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it-IT"/>
              </w:rPr>
              <w:t>Elementi utili alla selezione dell’operatore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E088D" w:rsidRPr="00F604F2" w:rsidRDefault="00BE088D" w:rsidP="00BE0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it-IT"/>
              </w:rPr>
              <w:t>Quotazione di riferimento per singoli servizi</w:t>
            </w:r>
          </w:p>
        </w:tc>
      </w:tr>
      <w:tr w:rsidR="00BE088D" w:rsidRPr="00F604F2" w:rsidTr="00F604F2">
        <w:trPr>
          <w:trHeight w:val="570"/>
        </w:trPr>
        <w:tc>
          <w:tcPr>
            <w:tcW w:w="24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E088D" w:rsidRPr="00F604F2" w:rsidRDefault="00BE088D" w:rsidP="00BE0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E088D" w:rsidRPr="00F604F2" w:rsidRDefault="00BE088D" w:rsidP="00BE0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E088D" w:rsidRPr="00F604F2" w:rsidRDefault="00BE088D" w:rsidP="00BE0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E088D" w:rsidRPr="00F604F2" w:rsidRDefault="00BE088D" w:rsidP="00BE0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  <w:tr w:rsidR="00BE088D" w:rsidRPr="00F604F2" w:rsidTr="00F604F2">
        <w:trPr>
          <w:trHeight w:val="58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Servizi televisivi e/o radiofonici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in euro per singolo passaggio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complessiva per almeno 60 passaggi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BE088D" w:rsidRPr="00F604F2" w:rsidRDefault="003920FA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Eventuali n</w:t>
            </w:r>
            <w:r w:rsidR="00BE088D"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ote integrative per l'operatore</w:t>
            </w:r>
          </w:p>
        </w:tc>
      </w:tr>
      <w:tr w:rsidR="00BE088D" w:rsidRPr="00F604F2" w:rsidTr="00F604F2">
        <w:trPr>
          <w:trHeight w:val="109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messaggi informativi da 30 secondi (TV)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 </w:t>
            </w:r>
          </w:p>
        </w:tc>
      </w:tr>
      <w:tr w:rsidR="00BE088D" w:rsidRPr="00F604F2" w:rsidTr="00F604F2">
        <w:trPr>
          <w:trHeight w:val="133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messaggi informativi da 30 secondi (Radio)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 </w:t>
            </w:r>
          </w:p>
        </w:tc>
      </w:tr>
      <w:tr w:rsidR="00F5067B" w:rsidRPr="00F604F2" w:rsidTr="00F604F2">
        <w:trPr>
          <w:trHeight w:val="900"/>
        </w:trPr>
        <w:tc>
          <w:tcPr>
            <w:tcW w:w="2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 xml:space="preserve">Intervista o trasmissione da almeno due minuti su richiesta della Fiumicino Tributi </w:t>
            </w:r>
          </w:p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per singola interviste e/o trasmissione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complessiva per almeno  4 interviste e/o trasmissioni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Eventuali note  integrative per l'operatore</w:t>
            </w:r>
          </w:p>
        </w:tc>
      </w:tr>
      <w:tr w:rsidR="00F5067B" w:rsidRPr="00F604F2" w:rsidTr="00F604F2">
        <w:trPr>
          <w:trHeight w:val="930"/>
        </w:trPr>
        <w:tc>
          <w:tcPr>
            <w:tcW w:w="24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 </w:t>
            </w:r>
          </w:p>
        </w:tc>
      </w:tr>
      <w:tr w:rsidR="00B21945" w:rsidRPr="00F604F2" w:rsidTr="00F604F2">
        <w:trPr>
          <w:trHeight w:val="900"/>
        </w:trPr>
        <w:tc>
          <w:tcPr>
            <w:tcW w:w="2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Trasmissione di 30 minuti alla presenza del Management societario</w:t>
            </w:r>
          </w:p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per singola  trasmissione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complessiva per almeno 2 trasmissioni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Eventuali note  integrative per l'operatore</w:t>
            </w:r>
          </w:p>
        </w:tc>
      </w:tr>
      <w:tr w:rsidR="00F5067B" w:rsidRPr="00F604F2" w:rsidTr="00F604F2">
        <w:trPr>
          <w:trHeight w:val="1590"/>
        </w:trPr>
        <w:tc>
          <w:tcPr>
            <w:tcW w:w="24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7B" w:rsidRPr="00F604F2" w:rsidRDefault="00F5067B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5067B" w:rsidRPr="00F604F2" w:rsidRDefault="00F5067B" w:rsidP="00B2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</w:tr>
      <w:tr w:rsidR="00BE088D" w:rsidRPr="00F604F2" w:rsidTr="00F604F2">
        <w:trPr>
          <w:trHeight w:val="64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Servizi carta stampata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in euro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E088D" w:rsidRPr="00F604F2" w:rsidRDefault="003920FA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Eventuali n</w:t>
            </w:r>
            <w:r w:rsidR="00BE088D"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ote integrative per l'operatore</w:t>
            </w:r>
          </w:p>
        </w:tc>
      </w:tr>
      <w:tr w:rsidR="00BE088D" w:rsidRPr="00F604F2" w:rsidTr="00F604F2">
        <w:trPr>
          <w:trHeight w:val="109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pagina intera mensile per messaggi informativi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BE088D" w:rsidRPr="00F604F2" w:rsidTr="00F604F2">
        <w:trPr>
          <w:trHeight w:val="1050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½ pagina mensile per messaggi informativi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BE088D" w:rsidRPr="00F604F2" w:rsidTr="00F604F2">
        <w:trPr>
          <w:trHeight w:val="73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¼ pagina mensile per messaggi informativi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E088D" w:rsidRPr="00F604F2" w:rsidRDefault="00BE088D" w:rsidP="00B21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</w:tbl>
    <w:p w:rsidR="00F5067B" w:rsidRPr="00F604F2" w:rsidRDefault="00F5067B" w:rsidP="00F5067B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p w:rsidR="00F604F2" w:rsidRDefault="00F604F2" w:rsidP="00F5067B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p w:rsidR="00F604F2" w:rsidRDefault="00F604F2" w:rsidP="00F5067B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p w:rsidR="00F604F2" w:rsidRPr="00F604F2" w:rsidRDefault="00F604F2" w:rsidP="00F5067B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749"/>
        <w:gridCol w:w="1700"/>
        <w:gridCol w:w="1606"/>
        <w:gridCol w:w="1655"/>
      </w:tblGrid>
      <w:tr w:rsidR="00F604F2" w:rsidRPr="00F604F2" w:rsidTr="00F604F2">
        <w:trPr>
          <w:trHeight w:val="600"/>
        </w:trPr>
        <w:tc>
          <w:tcPr>
            <w:tcW w:w="2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Articoli redazionali mensili</w:t>
            </w:r>
          </w:p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color w:val="000000"/>
                <w:sz w:val="18"/>
                <w:lang w:eastAsia="it-IT"/>
              </w:rPr>
              <w:t>Quotazione in euro per singolo articolo</w:t>
            </w:r>
          </w:p>
        </w:tc>
        <w:tc>
          <w:tcPr>
            <w:tcW w:w="1679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Eventuali note integrative per l'operatore</w:t>
            </w:r>
          </w:p>
        </w:tc>
      </w:tr>
      <w:tr w:rsidR="00F604F2" w:rsidRPr="00F604F2" w:rsidTr="00F604F2">
        <w:trPr>
          <w:trHeight w:val="945"/>
        </w:trPr>
        <w:tc>
          <w:tcPr>
            <w:tcW w:w="24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604F2" w:rsidRPr="00F604F2" w:rsidRDefault="00F604F2" w:rsidP="00DB2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1679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F604F2" w:rsidRPr="00F604F2" w:rsidTr="00F604F2">
        <w:trPr>
          <w:trHeight w:val="1080"/>
        </w:trPr>
        <w:tc>
          <w:tcPr>
            <w:tcW w:w="2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Media partner in incontri/convegni/eventi organizzati anche in collaborazione con il Comune di Fiumicino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in euro per singolo evento</w:t>
            </w:r>
          </w:p>
        </w:tc>
        <w:tc>
          <w:tcPr>
            <w:tcW w:w="827" w:type="pct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complessiva per almeno 4 eventi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Eventuali note integrative per l'operatore</w:t>
            </w:r>
          </w:p>
        </w:tc>
      </w:tr>
      <w:tr w:rsidR="00F604F2" w:rsidRPr="00F604F2" w:rsidTr="00F604F2">
        <w:trPr>
          <w:trHeight w:val="1185"/>
        </w:trPr>
        <w:tc>
          <w:tcPr>
            <w:tcW w:w="24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F604F2" w:rsidRPr="00F604F2" w:rsidTr="00F604F2">
        <w:trPr>
          <w:trHeight w:val="315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Testate online:</w:t>
            </w:r>
          </w:p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Articoli/Servizi speciali dedicati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in euro per singolo articolo/speciale mensile</w:t>
            </w:r>
          </w:p>
        </w:tc>
        <w:tc>
          <w:tcPr>
            <w:tcW w:w="827" w:type="pct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complessiva per almeno 4 articoli/servizi speciali mensili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Eventuali note integrative per l'operatore</w:t>
            </w:r>
          </w:p>
        </w:tc>
      </w:tr>
      <w:tr w:rsidR="00F604F2" w:rsidRPr="00F604F2" w:rsidTr="00F604F2">
        <w:trPr>
          <w:trHeight w:val="915"/>
        </w:trPr>
        <w:tc>
          <w:tcPr>
            <w:tcW w:w="24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Servizi/articoli online redatti sulla pagina dedicata a Fiumicino</w:t>
            </w:r>
          </w:p>
        </w:tc>
        <w:tc>
          <w:tcPr>
            <w:tcW w:w="8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F604F2" w:rsidRPr="00F604F2" w:rsidTr="00F604F2">
        <w:trPr>
          <w:trHeight w:val="810"/>
        </w:trPr>
        <w:tc>
          <w:tcPr>
            <w:tcW w:w="2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 xml:space="preserve">BANNER posizionato sulla sezione dedicata alla Città di Fiumicino </w:t>
            </w:r>
          </w:p>
          <w:p w:rsidR="00F604F2" w:rsidRPr="00F604F2" w:rsidRDefault="00F604F2" w:rsidP="00DB2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F604F2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in euro per singolo banner per almeno 5  giorni al mese</w:t>
            </w:r>
          </w:p>
        </w:tc>
        <w:tc>
          <w:tcPr>
            <w:tcW w:w="827" w:type="pct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Quotazione complessiva per un totale di 12 banner da tenere per almeno 5 giorni al mese per la durata del contratto</w:t>
            </w: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  <w:t>Eventuali note integrative per l'operatore</w:t>
            </w:r>
          </w:p>
        </w:tc>
      </w:tr>
      <w:tr w:rsidR="00F604F2" w:rsidRPr="00F604F2" w:rsidTr="00F604F2">
        <w:trPr>
          <w:trHeight w:val="1020"/>
        </w:trPr>
        <w:tc>
          <w:tcPr>
            <w:tcW w:w="24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04F2" w:rsidRPr="00F604F2" w:rsidRDefault="00F604F2" w:rsidP="00DB2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27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F2" w:rsidRPr="00F604F2" w:rsidRDefault="00F604F2" w:rsidP="00DB2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proofErr w:type="spellStart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€…</w:t>
            </w:r>
            <w:proofErr w:type="spellEnd"/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.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04F2" w:rsidRPr="00F604F2" w:rsidRDefault="00F604F2" w:rsidP="00DB2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F604F2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</w:tr>
    </w:tbl>
    <w:p w:rsidR="00F604F2" w:rsidRPr="00F604F2" w:rsidRDefault="00F604F2" w:rsidP="00F604F2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p w:rsidR="00F604F2" w:rsidRPr="00F604F2" w:rsidRDefault="00F604F2" w:rsidP="00F5067B">
      <w:pPr>
        <w:pStyle w:val="Corpodeltesto"/>
        <w:spacing w:before="169"/>
        <w:jc w:val="both"/>
        <w:rPr>
          <w:rFonts w:ascii="Cambria" w:hAnsi="Cambria" w:cs="Cambria"/>
          <w:color w:val="231F20"/>
          <w:sz w:val="18"/>
          <w:szCs w:val="22"/>
          <w:lang w:val="it-IT"/>
        </w:rPr>
      </w:pPr>
    </w:p>
    <w:p w:rsidR="00F5067B" w:rsidRDefault="00E50827" w:rsidP="00F5067B">
      <w:pPr>
        <w:pStyle w:val="Corpodeltesto"/>
        <w:spacing w:before="169"/>
        <w:jc w:val="both"/>
        <w:rPr>
          <w:lang w:val="it-IT"/>
        </w:rPr>
      </w:pPr>
      <w:r w:rsidRPr="00F604F2">
        <w:rPr>
          <w:rFonts w:ascii="Cambria" w:hAnsi="Cambria" w:cs="Cambria"/>
          <w:color w:val="231F20"/>
          <w:sz w:val="18"/>
          <w:szCs w:val="22"/>
          <w:lang w:val="it-IT"/>
        </w:rPr>
        <w:t xml:space="preserve">Data </w:t>
      </w:r>
      <w:proofErr w:type="spellStart"/>
      <w:r w:rsidRPr="00F604F2">
        <w:rPr>
          <w:rFonts w:ascii="Cambria" w:hAnsi="Cambria" w:cs="Cambria"/>
          <w:color w:val="231F20"/>
          <w:sz w:val="18"/>
          <w:szCs w:val="22"/>
          <w:lang w:val="it-IT"/>
        </w:rPr>
        <w:t>…………………………</w:t>
      </w:r>
      <w:proofErr w:type="spellEnd"/>
      <w:r w:rsidRPr="00F604F2">
        <w:rPr>
          <w:rFonts w:ascii="Cambria" w:hAnsi="Cambria" w:cs="Cambria"/>
          <w:color w:val="231F20"/>
          <w:sz w:val="18"/>
          <w:szCs w:val="22"/>
          <w:lang w:val="it-IT"/>
        </w:rPr>
        <w:t>..</w:t>
      </w:r>
      <w:r w:rsidRPr="00F604F2">
        <w:rPr>
          <w:sz w:val="16"/>
          <w:lang w:val="it-IT"/>
        </w:rPr>
        <w:t xml:space="preserve"> </w:t>
      </w:r>
      <w:r w:rsidR="00F5067B" w:rsidRPr="00F604F2">
        <w:rPr>
          <w:sz w:val="16"/>
          <w:lang w:val="it-IT"/>
        </w:rPr>
        <w:t xml:space="preserve">      </w:t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="00F5067B" w:rsidRPr="00F604F2">
        <w:rPr>
          <w:sz w:val="16"/>
          <w:lang w:val="it-IT"/>
        </w:rPr>
        <w:tab/>
      </w:r>
      <w:r w:rsidRPr="00F604F2">
        <w:rPr>
          <w:sz w:val="16"/>
          <w:lang w:val="it-IT"/>
        </w:rPr>
        <w:t xml:space="preserve">  </w:t>
      </w:r>
      <w:r w:rsidR="00F5067B" w:rsidRPr="00F604F2">
        <w:rPr>
          <w:rFonts w:ascii="Cambria" w:hAnsi="Cambria" w:cs="Cambria"/>
          <w:color w:val="231F20"/>
          <w:sz w:val="18"/>
          <w:szCs w:val="22"/>
          <w:lang w:val="it-IT"/>
        </w:rPr>
        <w:t>Fir</w:t>
      </w:r>
      <w:r w:rsidR="00F5067B">
        <w:rPr>
          <w:rFonts w:ascii="Cambria" w:hAnsi="Cambria" w:cs="Cambria"/>
          <w:color w:val="231F20"/>
          <w:sz w:val="22"/>
          <w:szCs w:val="22"/>
          <w:lang w:val="it-IT"/>
        </w:rPr>
        <w:t>ma</w:t>
      </w:r>
      <w:r>
        <w:rPr>
          <w:lang w:val="it-IT"/>
        </w:rPr>
        <w:t xml:space="preserve">                                                      </w:t>
      </w:r>
    </w:p>
    <w:sectPr w:rsidR="00F5067B" w:rsidSect="00BF7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EE" w:rsidRDefault="006269EE" w:rsidP="00F604F2">
      <w:pPr>
        <w:spacing w:after="0" w:line="240" w:lineRule="auto"/>
      </w:pPr>
      <w:r>
        <w:separator/>
      </w:r>
    </w:p>
  </w:endnote>
  <w:endnote w:type="continuationSeparator" w:id="0">
    <w:p w:rsidR="006269EE" w:rsidRDefault="006269EE" w:rsidP="00F6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Roman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EE" w:rsidRDefault="006269EE" w:rsidP="00F604F2">
      <w:pPr>
        <w:spacing w:after="0" w:line="240" w:lineRule="auto"/>
      </w:pPr>
      <w:r>
        <w:separator/>
      </w:r>
    </w:p>
  </w:footnote>
  <w:footnote w:type="continuationSeparator" w:id="0">
    <w:p w:rsidR="006269EE" w:rsidRDefault="006269EE" w:rsidP="00F60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88D"/>
    <w:rsid w:val="001A1110"/>
    <w:rsid w:val="00215438"/>
    <w:rsid w:val="003012E5"/>
    <w:rsid w:val="00343359"/>
    <w:rsid w:val="003920FA"/>
    <w:rsid w:val="006269EE"/>
    <w:rsid w:val="009C3DD4"/>
    <w:rsid w:val="00AD34E7"/>
    <w:rsid w:val="00B21945"/>
    <w:rsid w:val="00BD55EB"/>
    <w:rsid w:val="00BE088D"/>
    <w:rsid w:val="00BF75D0"/>
    <w:rsid w:val="00D2016A"/>
    <w:rsid w:val="00DA3DE2"/>
    <w:rsid w:val="00E50827"/>
    <w:rsid w:val="00EC2651"/>
    <w:rsid w:val="00F5067B"/>
    <w:rsid w:val="00F6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50827"/>
    <w:pPr>
      <w:widowControl w:val="0"/>
      <w:suppressAutoHyphens/>
      <w:autoSpaceDE w:val="0"/>
      <w:spacing w:after="0" w:line="240" w:lineRule="auto"/>
    </w:pPr>
    <w:rPr>
      <w:rFonts w:ascii="HelveticaNeueLTStd-Roman" w:eastAsia="HelveticaNeueLTStd-Roman" w:hAnsi="HelveticaNeueLTStd-Roman" w:cs="HelveticaNeueLTStd-Roman"/>
      <w:sz w:val="20"/>
      <w:szCs w:val="20"/>
      <w:lang w:val="en-US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E50827"/>
    <w:rPr>
      <w:rFonts w:ascii="HelveticaNeueLTStd-Roman" w:eastAsia="HelveticaNeueLTStd-Roman" w:hAnsi="HelveticaNeueLTStd-Roman" w:cs="HelveticaNeueLTStd-Roman"/>
      <w:sz w:val="20"/>
      <w:szCs w:val="20"/>
      <w:lang w:val="en-US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0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04F2"/>
  </w:style>
  <w:style w:type="paragraph" w:styleId="Pidipagina">
    <w:name w:val="footer"/>
    <w:basedOn w:val="Normale"/>
    <w:link w:val="PidipaginaCarattere"/>
    <w:uiPriority w:val="99"/>
    <w:semiHidden/>
    <w:unhideWhenUsed/>
    <w:rsid w:val="00F60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acistriani</dc:creator>
  <cp:lastModifiedBy>Marco Bernardi</cp:lastModifiedBy>
  <cp:revision>2</cp:revision>
  <dcterms:created xsi:type="dcterms:W3CDTF">2025-01-31T13:42:00Z</dcterms:created>
  <dcterms:modified xsi:type="dcterms:W3CDTF">2025-01-31T13:42:00Z</dcterms:modified>
</cp:coreProperties>
</file>