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98" w:rsidRDefault="00471298" w:rsidP="00CC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</w:p>
    <w:p w:rsidR="00471298" w:rsidRDefault="00471298" w:rsidP="00CC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</w:p>
    <w:p w:rsidR="00471298" w:rsidRDefault="00471298" w:rsidP="00CC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</w:p>
    <w:p w:rsidR="00CC742C" w:rsidRPr="00151C34" w:rsidRDefault="00E13F4F" w:rsidP="00CC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>
        <w:rPr>
          <w:rFonts w:ascii="Times New Roman" w:hAnsi="Times New Roman" w:cs="Times New Roman"/>
          <w:b/>
          <w:bCs/>
          <w:noProof/>
          <w:color w:val="0F243E" w:themeColor="text2" w:themeShade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35pt;margin-top:-38.05pt;width:55.45pt;height:55.45pt;z-index:251658240">
            <v:imagedata r:id="rId7" o:title=""/>
            <w10:wrap type="topAndBottom"/>
          </v:shape>
          <o:OLEObject Type="Embed" ProgID="MSPhotoEd.3" ShapeID="_x0000_s1026" DrawAspect="Content" ObjectID="_1715754275" r:id="rId8"/>
        </w:pict>
      </w:r>
      <w:r w:rsidR="00CC742C" w:rsidRPr="00151C34">
        <w:rPr>
          <w:rFonts w:ascii="Times New Roman" w:hAnsi="Times New Roman" w:cs="Times New Roman"/>
          <w:b/>
          <w:bCs/>
          <w:color w:val="0F243E" w:themeColor="text2" w:themeShade="80"/>
        </w:rPr>
        <w:t>COMUNE DI ARPINO</w:t>
      </w:r>
    </w:p>
    <w:p w:rsidR="00CC742C" w:rsidRPr="00151C34" w:rsidRDefault="00CC742C" w:rsidP="00CC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151C34">
        <w:rPr>
          <w:rFonts w:ascii="Times New Roman" w:hAnsi="Times New Roman" w:cs="Times New Roman"/>
          <w:b/>
          <w:bCs/>
          <w:color w:val="0F243E" w:themeColor="text2" w:themeShade="80"/>
        </w:rPr>
        <w:t>Provincia di Frosinone</w:t>
      </w:r>
    </w:p>
    <w:p w:rsidR="00F71DE5" w:rsidRPr="00151C34" w:rsidRDefault="00471298" w:rsidP="00CC742C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</w:rPr>
        <w:t>IMPOSTA MUNICIPALE PROPRIA- IMU</w:t>
      </w:r>
      <w:r w:rsidR="0054169D">
        <w:rPr>
          <w:rFonts w:ascii="Times New Roman" w:hAnsi="Times New Roman" w:cs="Times New Roman"/>
          <w:b/>
          <w:bCs/>
          <w:color w:val="0F243E" w:themeColor="text2" w:themeShade="80"/>
        </w:rPr>
        <w:t xml:space="preserve"> ANNO 2022</w:t>
      </w:r>
    </w:p>
    <w:p w:rsidR="00171C42" w:rsidRPr="00151C34" w:rsidRDefault="00171C42" w:rsidP="00CC742C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151C34">
        <w:rPr>
          <w:rFonts w:ascii="Times New Roman" w:hAnsi="Times New Roman" w:cs="Times New Roman"/>
          <w:b/>
          <w:bCs/>
          <w:color w:val="0F243E" w:themeColor="text2" w:themeShade="80"/>
        </w:rPr>
        <w:t>Informativa</w:t>
      </w:r>
    </w:p>
    <w:p w:rsidR="00471298" w:rsidRDefault="00471298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471298" w:rsidRDefault="00471298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66450" w:rsidRDefault="00566450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 decorrere dall’anno 2020, l’imposta unica comunale di cui all’art. 1, comma 639, della legge 27.12.2013, n. 147, è abolita, ad eccezione delle disposizioni relative alla tassa sui rifiuti ( TARI ); l’imposta municipale propria ( IMU ) è disciplinata dalle disposizioni di cui ai commi da 739 a 783 della legge 27.12.2019, n. 160 ( legge di bilancio 2020 )</w:t>
      </w:r>
      <w:r w:rsidR="00471298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</w:t>
      </w:r>
    </w:p>
    <w:p w:rsidR="00CC48F8" w:rsidRDefault="00CC48F8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La legge di Bilancio n. 160/2019 ha stabilito con decorrenza 01.01.2020 la fusione delle due patrimoniali IMU e TASI in un’unica imposta la “nuova” IMU.</w:t>
      </w:r>
    </w:p>
    <w:p w:rsidR="00FB207F" w:rsidRDefault="00FB207F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Si comunica che, per quanto riguarda L’IMU 2022 non ci sono novità rilevanti rispetto allo scorso anno.</w:t>
      </w:r>
    </w:p>
    <w:p w:rsidR="00024674" w:rsidRDefault="00024674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Principalmente:</w:t>
      </w:r>
    </w:p>
    <w:p w:rsidR="00BF00E2" w:rsidRDefault="00FB207F" w:rsidP="000246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sono state abolite le agevolazioni spettanti ad alcune categorie di immobili legate a specifiche attività produttive, a seguito dell’emergenza sanitaria da COVID-19</w:t>
      </w:r>
      <w:r w:rsid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tuttavia per il 2022, così come per il saldo 2020 e per l’anno 2021, resta confermata l’esenzione dal versamento IMU per gli immobili destinati a spettacoli cinematografici, teatri e </w:t>
      </w:r>
      <w:r w:rsidR="00C559D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sale per concerti e spettacoli </w:t>
      </w:r>
      <w:r w:rsid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ossia gli immobili rientranti nella categoria catastale D/</w:t>
      </w:r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3 </w:t>
      </w:r>
      <w:r w:rsidR="00C559D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( </w:t>
      </w:r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art. 78, c. 1 </w:t>
      </w:r>
      <w:proofErr w:type="spellStart"/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lett.d</w:t>
      </w:r>
      <w:proofErr w:type="spellEnd"/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) e c. 3 del D.L. 104/2020 ) a condizione che i relativi proprietari siano anche i gestori delle attività ivi esercitate;</w:t>
      </w:r>
    </w:p>
    <w:p w:rsidR="00FB207F" w:rsidRDefault="00FB207F" w:rsidP="000246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024674"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a decorrere dal 1° gennaio 2022</w:t>
      </w:r>
      <w:r w:rsidR="00BF00E2" w:rsidRP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BF00E2"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è entrata in vigore</w:t>
      </w:r>
      <w:r w:rsidR="00024674"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l’esenzione per i beni merce</w:t>
      </w:r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( art. 1, c. 751, della Legge 160/2019 )</w:t>
      </w:r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, ossia gli immobili di proprietà di imprese edili, costruiti e destinati alla vendita, non locati, </w:t>
      </w:r>
      <w:proofErr w:type="spellStart"/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finchè</w:t>
      </w:r>
      <w:proofErr w:type="spellEnd"/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rientrano in questa condizione.</w:t>
      </w:r>
      <w:r w:rsidR="00BF00E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Pr="0002467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Resta obbligatoria la presentazione della dichiarazione IMU a pena di decadenza.</w:t>
      </w:r>
    </w:p>
    <w:p w:rsidR="00BF00E2" w:rsidRDefault="00BF00E2" w:rsidP="0002467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Limitatamente all’anno 2022 è ridotta al 37,5 % l’IMU relativa ad una sola unità immobiliare a uso abitativo, non locata o data in comodato d’uso, posseduta in Italia a titolo di proprietà o usufrutto da soggetti non residenti nel territorio dello Stato che siano titolari di pensione maturata</w:t>
      </w:r>
      <w:r w:rsidR="00C559D2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in regime di convenzione internazionale con l’Italia, residenti in uno Stato di assicurazione diverso dall’Italia. Ciò significa che mentre nel 2021 per tali soggetti la riduzione d’imposta era pari al 50%, nel 2022 essa sale al 62,5% ( art. 1, c. 743 della Legge 234/2021 );</w:t>
      </w:r>
    </w:p>
    <w:p w:rsidR="006C4C1D" w:rsidRPr="00F83224" w:rsidRDefault="006C4C1D" w:rsidP="00F8322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Nel caso di coniugi con residenza in immobili differenti, situati nel territorio comunale o in comuni diversi, per beneficiare dell’agevolazione prima casa, è necessario scegliere quale immobile considerare come abitazione principale, presentando la dichiarazione IMU, </w:t>
      </w:r>
      <w:r w:rsidRPr="00F8322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in quanto spetta una sola esenzione </w:t>
      </w:r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( art. 5- </w:t>
      </w:r>
      <w:proofErr w:type="spellStart"/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decies</w:t>
      </w:r>
      <w:proofErr w:type="spellEnd"/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del DL 146/2021, </w:t>
      </w:r>
      <w:proofErr w:type="spellStart"/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conv</w:t>
      </w:r>
      <w:proofErr w:type="spellEnd"/>
      <w:r w:rsidRP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 Nella L. 215/2021 );</w:t>
      </w:r>
    </w:p>
    <w:p w:rsidR="00024674" w:rsidRPr="00C62B4F" w:rsidRDefault="00024674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566450" w:rsidRPr="00C62B4F" w:rsidRDefault="00566450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E33884" w:rsidRPr="00C62B4F" w:rsidRDefault="00E33884" w:rsidP="00E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Si comunica che l</w:t>
      </w:r>
      <w:r w:rsidR="00A5205F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scadenz</w:t>
      </w:r>
      <w:r w:rsidR="00A5205F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e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dell’Imposta municipale</w:t>
      </w:r>
      <w:r w:rsidR="003C068E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propria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IMU</w:t>
      </w:r>
      <w:r w:rsid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per l’anno 2022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sono le seguenti:</w:t>
      </w:r>
    </w:p>
    <w:p w:rsidR="00A5205F" w:rsidRPr="00C62B4F" w:rsidRDefault="00E33884" w:rsidP="00AE0B8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1° rata Acconto: da</w:t>
      </w:r>
      <w:r w:rsidR="00916787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versare entro il </w:t>
      </w:r>
      <w:r w:rsidR="00F31401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16</w:t>
      </w:r>
      <w:r w:rsidR="00BF6274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giugno 2022</w:t>
      </w:r>
      <w:r w:rsidR="00A5205F"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;</w:t>
      </w:r>
    </w:p>
    <w:p w:rsidR="00CC48F8" w:rsidRPr="00E366D0" w:rsidRDefault="00E33884" w:rsidP="00CC48F8">
      <w:pPr>
        <w:pStyle w:val="Paragrafoelenco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</w:pPr>
      <w:r w:rsidRPr="00E366D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2° rata Saldo: da versare entro il </w:t>
      </w:r>
      <w:r w:rsidR="00BF6274" w:rsidRPr="00E366D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16</w:t>
      </w:r>
      <w:r w:rsid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dicembre 2022</w:t>
      </w:r>
    </w:p>
    <w:p w:rsidR="00CC48F8" w:rsidRPr="00CC48F8" w:rsidRDefault="00CC48F8" w:rsidP="00CC48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C48F8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Entro il 16 giugno bisognerà versare l</w:t>
      </w:r>
      <w:r w:rsidR="00024674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’</w:t>
      </w:r>
      <w:r w:rsidRPr="00CC48F8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acconto dell</w:t>
      </w:r>
      <w:r w:rsidR="00024674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’</w:t>
      </w:r>
      <w:r w:rsidR="00F83224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IMU 2022</w:t>
      </w:r>
      <w:r w:rsidRPr="00CC48F8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.</w:t>
      </w:r>
      <w:r w:rsidRPr="00CC48F8">
        <w:rPr>
          <w:rFonts w:ascii="Times New Roman" w:eastAsia="Times New Roman" w:hAnsi="Times New Roman" w:cs="Times New Roman"/>
          <w:color w:val="212529"/>
          <w:sz w:val="20"/>
          <w:szCs w:val="20"/>
        </w:rPr>
        <w:t> </w:t>
      </w:r>
    </w:p>
    <w:p w:rsidR="00CC48F8" w:rsidRPr="00CC48F8" w:rsidRDefault="00DC3A6E" w:rsidP="00CC48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Le regole stabiliscono</w:t>
      </w:r>
      <w:r w:rsidR="00CC48F8" w:rsidRPr="00CC48F8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che l’IMU deve essere versata generalmente in due rate di pari importo:</w:t>
      </w:r>
    </w:p>
    <w:p w:rsidR="00CC48F8" w:rsidRPr="00CC48F8" w:rsidRDefault="00CC48F8" w:rsidP="00CC48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C48F8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la prima di acconto entro il 16.</w:t>
      </w:r>
      <w:r w:rsidR="00F8322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0</w:t>
      </w:r>
      <w:r w:rsidRPr="00CC48F8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6,</w:t>
      </w:r>
      <w:r w:rsidRPr="00CC48F8">
        <w:rPr>
          <w:rFonts w:ascii="Times New Roman" w:eastAsia="Times New Roman" w:hAnsi="Times New Roman" w:cs="Times New Roman"/>
          <w:color w:val="212529"/>
          <w:sz w:val="20"/>
          <w:szCs w:val="20"/>
        </w:rPr>
        <w:t> in base all’aliquota e alla detrazione dei dodici mesi dell’anno precedente. </w:t>
      </w:r>
      <w:r w:rsidR="00F8322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Per il 2022</w:t>
      </w:r>
      <w:r w:rsidRPr="00CC48F8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, l’acconto è pari alla metà di quanto versato</w:t>
      </w:r>
      <w:r w:rsidR="00F8322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a titolo di IMU e TASI nel 2021</w:t>
      </w:r>
      <w:r w:rsidRPr="00CC48F8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; </w:t>
      </w:r>
    </w:p>
    <w:p w:rsidR="00CC48F8" w:rsidRPr="00CC48F8" w:rsidRDefault="00CC48F8" w:rsidP="00CC48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CC48F8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la seconda a saldo entro il 16.12</w:t>
      </w:r>
      <w:r w:rsidRPr="00CC48F8">
        <w:rPr>
          <w:rFonts w:ascii="Times New Roman" w:eastAsia="Times New Roman" w:hAnsi="Times New Roman" w:cs="Times New Roman"/>
          <w:color w:val="212529"/>
          <w:sz w:val="20"/>
          <w:szCs w:val="20"/>
        </w:rPr>
        <w:t> sulla base delle delibere comunali pubblicate sul sito del MEF entro il 28 ottobre di ciascun anno di imposta; in caso di mancata pubblicazione nei termini, si applicano le aliquote/detrazioni adottate per l’anno precedente;</w:t>
      </w:r>
    </w:p>
    <w:p w:rsidR="00CC48F8" w:rsidRPr="00DC3A6E" w:rsidRDefault="00CC48F8" w:rsidP="00CC48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</w:pPr>
      <w:r w:rsidRPr="00DC3A6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oppure in un</w:t>
      </w:r>
      <w:r w:rsidR="0002467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’</w:t>
      </w:r>
      <w:r w:rsidRPr="00DC3A6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unica soluzione entro il 16.</w:t>
      </w:r>
      <w:r w:rsidR="00F8322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0</w:t>
      </w:r>
      <w:r w:rsidRPr="00DC3A6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6 </w:t>
      </w:r>
    </w:p>
    <w:p w:rsidR="00CC48F8" w:rsidRDefault="00CC48F8" w:rsidP="00CC4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Di seguito si riportano le aliquote</w:t>
      </w:r>
      <w:r w:rsidR="00F8322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( rimaste invariate ) e stabilite  per l’anno 2022</w:t>
      </w:r>
      <w:r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:</w:t>
      </w:r>
    </w:p>
    <w:p w:rsidR="00DC3A6E" w:rsidRPr="00DC3A6E" w:rsidRDefault="00DC3A6E" w:rsidP="00DC3A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C3A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 per mille aliquota per unità adibite ad abitazioni principali e relative pertinenze (per le fattispecie impositive previste dalla norma);</w:t>
      </w:r>
    </w:p>
    <w:p w:rsidR="00DC3A6E" w:rsidRPr="00DC3A6E" w:rsidRDefault="00DC3A6E" w:rsidP="00DC3A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C3A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10,6 per mille aliquota base per altri immobili;</w:t>
      </w:r>
    </w:p>
    <w:p w:rsidR="00DC3A6E" w:rsidRPr="00DC3A6E" w:rsidRDefault="00DC3A6E" w:rsidP="00DC3A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C3A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 per mille per i fabbricati rurali ad uso strumentale;</w:t>
      </w:r>
    </w:p>
    <w:p w:rsidR="00DC3A6E" w:rsidRPr="00DC3A6E" w:rsidRDefault="00DC3A6E" w:rsidP="00DC3A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C3A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2,5 per mille per i fabbricati costruiti e destinati dall’impresa costruttrice alla vendita;</w:t>
      </w:r>
    </w:p>
    <w:p w:rsidR="00DC3A6E" w:rsidRPr="00DC3A6E" w:rsidRDefault="00DC3A6E" w:rsidP="00DC3A6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C3A6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aliquota 10,6 per mille per le abitazioni concesse dal soggetto passivo in comodato gratuito regolarmente registrato ai parenti di primo grado che la utilizzano come abitazione principale;</w:t>
      </w:r>
    </w:p>
    <w:p w:rsidR="00DC3A6E" w:rsidRPr="00F83224" w:rsidRDefault="00DC3A6E" w:rsidP="00DC3A6E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C2024"/>
          <w:sz w:val="20"/>
          <w:szCs w:val="20"/>
        </w:rPr>
      </w:pPr>
      <w:r w:rsidRPr="00F8322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lastRenderedPageBreak/>
        <w:t>detrazione per abitazione principale euro 200,00 a favore dei soggetti passivi persone fisiche che risiedano anagraficamente e dimorino abitualmente nell’unità immobiliare adibita ad abitazione principale.</w:t>
      </w:r>
    </w:p>
    <w:p w:rsidR="00F31401" w:rsidRPr="00C62B4F" w:rsidRDefault="00DC3A6E" w:rsidP="00F832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DC3A6E">
        <w:rPr>
          <w:rFonts w:ascii="Times New Roman" w:eastAsia="Times New Roman" w:hAnsi="Times New Roman" w:cs="Times New Roman"/>
          <w:color w:val="1C2024"/>
          <w:sz w:val="20"/>
          <w:szCs w:val="20"/>
        </w:rPr>
        <w:br/>
      </w:r>
      <w:r w:rsidRPr="00DC3A6E">
        <w:rPr>
          <w:rFonts w:ascii="Times New Roman" w:eastAsia="Times New Roman" w:hAnsi="Times New Roman" w:cs="Times New Roman"/>
          <w:color w:val="1C2024"/>
          <w:sz w:val="20"/>
          <w:szCs w:val="20"/>
        </w:rPr>
        <w:br/>
        <w:t> </w:t>
      </w:r>
    </w:p>
    <w:p w:rsidR="00F31401" w:rsidRPr="00C62B4F" w:rsidRDefault="00B75102" w:rsidP="00C62B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Sono stati confermati con la risoluzione n. 29/E del 29.05.2020 dell’Agenzia delle Entrate i</w:t>
      </w:r>
      <w:r w:rsidR="00F31401"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Codici tributo</w:t>
      </w: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già utilizzati in precedenza</w:t>
      </w:r>
      <w:r w:rsid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per i versamenti con Modello F24 </w:t>
      </w:r>
      <w:r w:rsidR="00384FD9"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e</w:t>
      </w: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istituiti con le Risoluzioni n. 35/E del 12.04.2012 e n. 33/E del 21.05.2013</w:t>
      </w:r>
      <w:r w:rsidR="00384FD9"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;</w:t>
      </w: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si aggiunge alla lista un nuovo codice tributo </w:t>
      </w: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u w:val="single"/>
        </w:rPr>
        <w:t>3939</w:t>
      </w:r>
      <w:r w:rsidRPr="00C62B4F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denominato “IMU – imposta municipale propria per i fabbricati costruiti e destinati dall’impresa costruttrice alla vendita – COMUNE”</w:t>
      </w:r>
    </w:p>
    <w:p w:rsidR="00B75102" w:rsidRPr="00C62B4F" w:rsidRDefault="00B75102" w:rsidP="00C62B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B75102" w:rsidRPr="00C62B4F" w:rsidRDefault="00B75102" w:rsidP="00F314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384FD9" w:rsidRPr="00C62B4F" w:rsidRDefault="00384FD9" w:rsidP="00384FD9">
      <w:pPr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Il codice</w:t>
      </w:r>
      <w:r w:rsidR="0085076D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comune</w:t>
      </w:r>
      <w:r w:rsidRPr="00C62B4F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da utilizzare</w:t>
      </w:r>
      <w:r w:rsidR="0085076D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 xml:space="preserve"> per i versamenti al Comune di Arpino è </w:t>
      </w:r>
      <w:r w:rsidR="0085076D" w:rsidRPr="0085076D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>A433</w:t>
      </w:r>
      <w:r w:rsidRPr="0085076D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</w:rPr>
        <w:t xml:space="preserve"> </w:t>
      </w:r>
    </w:p>
    <w:p w:rsidR="00B75102" w:rsidRPr="00C62B4F" w:rsidRDefault="006374E6" w:rsidP="00E366D0">
      <w:pPr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bCs/>
          <w:color w:val="0F243E" w:themeColor="text2" w:themeShade="80"/>
          <w:sz w:val="20"/>
          <w:szCs w:val="20"/>
        </w:rPr>
        <w:t>In caso di ravvedimento, sanzioni e interessi sono versati unitamente all’imposta dovuta.</w:t>
      </w:r>
    </w:p>
    <w:p w:rsidR="00566450" w:rsidRPr="00C62B4F" w:rsidRDefault="00566450" w:rsidP="0056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  <w:u w:val="single"/>
        </w:rPr>
      </w:pPr>
      <w:r w:rsidRPr="00C62B4F">
        <w:rPr>
          <w:rFonts w:ascii="Times New Roman" w:hAnsi="Times New Roman" w:cs="Times New Roman"/>
          <w:b/>
          <w:bCs/>
          <w:color w:val="0F243E" w:themeColor="text2" w:themeShade="80"/>
          <w:sz w:val="20"/>
          <w:szCs w:val="20"/>
          <w:u w:val="single"/>
        </w:rPr>
        <w:t>Ravvedimento</w:t>
      </w:r>
    </w:p>
    <w:p w:rsidR="00566450" w:rsidRPr="00C62B4F" w:rsidRDefault="00566450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L’OMESSO, TARDIVO o PARZIALE VERSAMENTO dell’ IMU dovuta alle scadenze previste comporta l’applicazione della sanzione pecuniaria nella misura del 30% degli importi non versati o versati in ritardo. Il contribuente può evitare l'applicazione integrale della sanzione mediante lo strumento del RAVVEDIMENTO OPEROSO, attraverso il versamento spontaneo nei termini stabiliti per tale istituto di imposta dovuta e non versata, sanzione amministrativa nella misura ridotta e interessi legali maturati.</w:t>
      </w:r>
    </w:p>
    <w:p w:rsidR="00471298" w:rsidRPr="00C62B4F" w:rsidRDefault="00471298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Per informazioni l’Ufficio Tributi osserva il seguente orario di ricevimento: 9.00-13.00 dei giorni lunedì – mercoledì</w:t>
      </w:r>
      <w:r w:rsid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 Tel. 0776.85211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e-mail: </w:t>
      </w:r>
      <w:hyperlink r:id="rId9" w:history="1">
        <w:r w:rsidRPr="00C62B4F">
          <w:rPr>
            <w:rStyle w:val="Collegamentoipertestuale"/>
            <w:rFonts w:ascii="Times New Roman" w:hAnsi="Times New Roman" w:cs="Times New Roman"/>
            <w:sz w:val="20"/>
            <w:szCs w:val="20"/>
          </w:rPr>
          <w:t>tributi@comune.arpino.fr.it</w:t>
        </w:r>
      </w:hyperlink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Dalla Residenza Mu</w:t>
      </w:r>
      <w:r w:rsidR="00E13F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nicipale,  31</w:t>
      </w:r>
      <w:bookmarkStart w:id="0" w:name="_GoBack"/>
      <w:bookmarkEnd w:id="0"/>
      <w:r w:rsidR="00F83224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.05.2022</w:t>
      </w: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  <w:t>Il RESPONSABILE DEL SERVIZIO</w:t>
      </w:r>
    </w:p>
    <w:p w:rsidR="00471298" w:rsidRPr="00C62B4F" w:rsidRDefault="00471298" w:rsidP="0047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  <w:t xml:space="preserve">    </w:t>
      </w:r>
      <w:r w:rsidRPr="00C62B4F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  <w:t xml:space="preserve">         Dott. Massimiliano Rea</w:t>
      </w:r>
    </w:p>
    <w:p w:rsidR="00471298" w:rsidRPr="00C62B4F" w:rsidRDefault="00471298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71298" w:rsidRPr="00C62B4F" w:rsidRDefault="00471298" w:rsidP="0056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6450" w:rsidRDefault="00566450" w:rsidP="00566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</w:rPr>
      </w:pPr>
    </w:p>
    <w:p w:rsidR="00B75102" w:rsidRDefault="00B75102" w:rsidP="00F314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B75102" w:rsidRDefault="00B75102" w:rsidP="00F314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B75102" w:rsidRPr="00F31401" w:rsidRDefault="00B75102" w:rsidP="00F314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F243E" w:themeColor="text2" w:themeShade="80"/>
        </w:rPr>
      </w:pPr>
    </w:p>
    <w:sectPr w:rsidR="00B75102" w:rsidRPr="00F31401" w:rsidSect="002B30F2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42E"/>
    <w:multiLevelType w:val="hybridMultilevel"/>
    <w:tmpl w:val="23DAE0C2"/>
    <w:lvl w:ilvl="0" w:tplc="28522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B4D"/>
    <w:multiLevelType w:val="hybridMultilevel"/>
    <w:tmpl w:val="1236E3D8"/>
    <w:lvl w:ilvl="0" w:tplc="5380B6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2EC"/>
    <w:multiLevelType w:val="hybridMultilevel"/>
    <w:tmpl w:val="0BD43936"/>
    <w:lvl w:ilvl="0" w:tplc="C8AE4F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13F"/>
    <w:multiLevelType w:val="hybridMultilevel"/>
    <w:tmpl w:val="D85E24A6"/>
    <w:lvl w:ilvl="0" w:tplc="52E0DD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573"/>
    <w:multiLevelType w:val="hybridMultilevel"/>
    <w:tmpl w:val="42D43468"/>
    <w:lvl w:ilvl="0" w:tplc="C8AE4F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5B16"/>
    <w:multiLevelType w:val="hybridMultilevel"/>
    <w:tmpl w:val="91D07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0A50"/>
    <w:multiLevelType w:val="hybridMultilevel"/>
    <w:tmpl w:val="AF84ED38"/>
    <w:lvl w:ilvl="0" w:tplc="FCE0A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8347E"/>
    <w:multiLevelType w:val="hybridMultilevel"/>
    <w:tmpl w:val="A376846E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A3FF3"/>
    <w:multiLevelType w:val="hybridMultilevel"/>
    <w:tmpl w:val="1E32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6259"/>
    <w:multiLevelType w:val="hybridMultilevel"/>
    <w:tmpl w:val="B14C1F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72CD8"/>
    <w:multiLevelType w:val="hybridMultilevel"/>
    <w:tmpl w:val="A5589BA6"/>
    <w:lvl w:ilvl="0" w:tplc="1E4E07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4314F"/>
    <w:multiLevelType w:val="multilevel"/>
    <w:tmpl w:val="C8E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61D45"/>
    <w:multiLevelType w:val="hybridMultilevel"/>
    <w:tmpl w:val="789458AC"/>
    <w:lvl w:ilvl="0" w:tplc="3B9E727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D2"/>
    <w:rsid w:val="00020E7D"/>
    <w:rsid w:val="00024674"/>
    <w:rsid w:val="0005030E"/>
    <w:rsid w:val="0005146A"/>
    <w:rsid w:val="00062085"/>
    <w:rsid w:val="00074670"/>
    <w:rsid w:val="00090A87"/>
    <w:rsid w:val="000A2EFC"/>
    <w:rsid w:val="000A388B"/>
    <w:rsid w:val="000C2B71"/>
    <w:rsid w:val="000F6993"/>
    <w:rsid w:val="0011380A"/>
    <w:rsid w:val="00124C00"/>
    <w:rsid w:val="001254FB"/>
    <w:rsid w:val="00151C34"/>
    <w:rsid w:val="00156F1B"/>
    <w:rsid w:val="00171C42"/>
    <w:rsid w:val="00175632"/>
    <w:rsid w:val="001E26D2"/>
    <w:rsid w:val="001F09CA"/>
    <w:rsid w:val="00202D68"/>
    <w:rsid w:val="00206EB1"/>
    <w:rsid w:val="002539D2"/>
    <w:rsid w:val="002635A3"/>
    <w:rsid w:val="00270819"/>
    <w:rsid w:val="00280C1E"/>
    <w:rsid w:val="00284905"/>
    <w:rsid w:val="002935B2"/>
    <w:rsid w:val="002B30F2"/>
    <w:rsid w:val="003006AD"/>
    <w:rsid w:val="0031311B"/>
    <w:rsid w:val="00327849"/>
    <w:rsid w:val="00353326"/>
    <w:rsid w:val="00384FD9"/>
    <w:rsid w:val="003A3516"/>
    <w:rsid w:val="003B25BB"/>
    <w:rsid w:val="003C068E"/>
    <w:rsid w:val="003C64EF"/>
    <w:rsid w:val="004067AC"/>
    <w:rsid w:val="00412413"/>
    <w:rsid w:val="0042666B"/>
    <w:rsid w:val="00431EDC"/>
    <w:rsid w:val="00450549"/>
    <w:rsid w:val="00471298"/>
    <w:rsid w:val="004B3805"/>
    <w:rsid w:val="004E7096"/>
    <w:rsid w:val="004E7FE6"/>
    <w:rsid w:val="00516D74"/>
    <w:rsid w:val="00524B51"/>
    <w:rsid w:val="00536009"/>
    <w:rsid w:val="0054169D"/>
    <w:rsid w:val="00550181"/>
    <w:rsid w:val="00566450"/>
    <w:rsid w:val="0057596F"/>
    <w:rsid w:val="00575BB8"/>
    <w:rsid w:val="005D4EAC"/>
    <w:rsid w:val="005E4B73"/>
    <w:rsid w:val="005E4BBD"/>
    <w:rsid w:val="005F2760"/>
    <w:rsid w:val="005F4FB0"/>
    <w:rsid w:val="0060722D"/>
    <w:rsid w:val="006078A7"/>
    <w:rsid w:val="006374E6"/>
    <w:rsid w:val="006B290B"/>
    <w:rsid w:val="006C4C1D"/>
    <w:rsid w:val="006F1CFC"/>
    <w:rsid w:val="00741FC1"/>
    <w:rsid w:val="00753B4E"/>
    <w:rsid w:val="0078185B"/>
    <w:rsid w:val="007A441E"/>
    <w:rsid w:val="007C5C05"/>
    <w:rsid w:val="00804A52"/>
    <w:rsid w:val="00825D06"/>
    <w:rsid w:val="00836E83"/>
    <w:rsid w:val="00842115"/>
    <w:rsid w:val="0085076D"/>
    <w:rsid w:val="0089309D"/>
    <w:rsid w:val="00895034"/>
    <w:rsid w:val="008958E3"/>
    <w:rsid w:val="008B1C22"/>
    <w:rsid w:val="008D246C"/>
    <w:rsid w:val="00916787"/>
    <w:rsid w:val="009447DB"/>
    <w:rsid w:val="009564B3"/>
    <w:rsid w:val="009E0C04"/>
    <w:rsid w:val="009E4ECF"/>
    <w:rsid w:val="009F1E3C"/>
    <w:rsid w:val="00A00CF5"/>
    <w:rsid w:val="00A5205F"/>
    <w:rsid w:val="00A610E8"/>
    <w:rsid w:val="00A6199A"/>
    <w:rsid w:val="00A65397"/>
    <w:rsid w:val="00A80CB3"/>
    <w:rsid w:val="00AC0AA0"/>
    <w:rsid w:val="00AE0B8B"/>
    <w:rsid w:val="00AE4601"/>
    <w:rsid w:val="00B4650B"/>
    <w:rsid w:val="00B670B1"/>
    <w:rsid w:val="00B73D06"/>
    <w:rsid w:val="00B75102"/>
    <w:rsid w:val="00BD4138"/>
    <w:rsid w:val="00BE48DF"/>
    <w:rsid w:val="00BF00E2"/>
    <w:rsid w:val="00BF6274"/>
    <w:rsid w:val="00C06CA1"/>
    <w:rsid w:val="00C2219B"/>
    <w:rsid w:val="00C4589D"/>
    <w:rsid w:val="00C559D2"/>
    <w:rsid w:val="00C62B4F"/>
    <w:rsid w:val="00C63556"/>
    <w:rsid w:val="00C77AD2"/>
    <w:rsid w:val="00C97FC9"/>
    <w:rsid w:val="00CC364D"/>
    <w:rsid w:val="00CC48F8"/>
    <w:rsid w:val="00CC742C"/>
    <w:rsid w:val="00D151D7"/>
    <w:rsid w:val="00D217AA"/>
    <w:rsid w:val="00D43D63"/>
    <w:rsid w:val="00D74DE7"/>
    <w:rsid w:val="00D9247C"/>
    <w:rsid w:val="00DC3A6E"/>
    <w:rsid w:val="00DD31F8"/>
    <w:rsid w:val="00DD542C"/>
    <w:rsid w:val="00DE1265"/>
    <w:rsid w:val="00E13F4F"/>
    <w:rsid w:val="00E15FD7"/>
    <w:rsid w:val="00E207C6"/>
    <w:rsid w:val="00E33884"/>
    <w:rsid w:val="00E366D0"/>
    <w:rsid w:val="00E60ED4"/>
    <w:rsid w:val="00E65CF7"/>
    <w:rsid w:val="00E70507"/>
    <w:rsid w:val="00E73990"/>
    <w:rsid w:val="00E80AF3"/>
    <w:rsid w:val="00EA4DCB"/>
    <w:rsid w:val="00EB4034"/>
    <w:rsid w:val="00ED72C9"/>
    <w:rsid w:val="00EF6827"/>
    <w:rsid w:val="00F02441"/>
    <w:rsid w:val="00F17EDE"/>
    <w:rsid w:val="00F31401"/>
    <w:rsid w:val="00F53773"/>
    <w:rsid w:val="00F71DE5"/>
    <w:rsid w:val="00F83224"/>
    <w:rsid w:val="00FB207F"/>
    <w:rsid w:val="00FB67B8"/>
    <w:rsid w:val="00FB76DA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5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31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A7"/>
    <w:rPr>
      <w:rFonts w:ascii="Segoe UI" w:hAnsi="Segoe UI" w:cs="Segoe UI"/>
      <w:sz w:val="18"/>
      <w:szCs w:val="18"/>
    </w:rPr>
  </w:style>
  <w:style w:type="paragraph" w:customStyle="1" w:styleId="done">
    <w:name w:val="done"/>
    <w:basedOn w:val="Normale"/>
    <w:rsid w:val="00CC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4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5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31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A7"/>
    <w:rPr>
      <w:rFonts w:ascii="Segoe UI" w:hAnsi="Segoe UI" w:cs="Segoe UI"/>
      <w:sz w:val="18"/>
      <w:szCs w:val="18"/>
    </w:rPr>
  </w:style>
  <w:style w:type="paragraph" w:customStyle="1" w:styleId="done">
    <w:name w:val="done"/>
    <w:basedOn w:val="Normale"/>
    <w:rsid w:val="00CC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4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ibuti@comune.arpino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BD392-31F8-4346-81CC-AD26871F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cp:lastPrinted>2021-06-11T10:15:00Z</cp:lastPrinted>
  <dcterms:created xsi:type="dcterms:W3CDTF">2022-05-23T10:12:00Z</dcterms:created>
  <dcterms:modified xsi:type="dcterms:W3CDTF">2022-06-03T07:38:00Z</dcterms:modified>
</cp:coreProperties>
</file>